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1BE3D" w14:textId="77777777" w:rsidR="00AA4536" w:rsidRPr="00AB7354" w:rsidRDefault="00AA4536" w:rsidP="001B0C56">
      <w:pPr>
        <w:spacing w:after="0" w:line="240" w:lineRule="auto"/>
        <w:jc w:val="center"/>
        <w:rPr>
          <w:rFonts w:ascii="Century" w:eastAsia="Times New Roman" w:hAnsi="Century" w:cs="Tahoma"/>
          <w:b/>
          <w:sz w:val="24"/>
          <w:szCs w:val="24"/>
          <w:u w:val="single"/>
          <w:lang w:val="es-ES" w:eastAsia="es-ES"/>
        </w:rPr>
      </w:pPr>
    </w:p>
    <w:p w14:paraId="23FC13D0" w14:textId="77777777" w:rsidR="00122E83" w:rsidRPr="00AB7354" w:rsidRDefault="00AA4536" w:rsidP="001B0C56">
      <w:pPr>
        <w:spacing w:after="0" w:line="240" w:lineRule="auto"/>
        <w:jc w:val="center"/>
        <w:rPr>
          <w:rFonts w:ascii="Century" w:eastAsia="Times New Roman" w:hAnsi="Century" w:cs="Tahoma"/>
          <w:b/>
          <w:sz w:val="24"/>
          <w:szCs w:val="24"/>
          <w:u w:val="single"/>
          <w:lang w:val="es-ES" w:eastAsia="es-ES"/>
        </w:rPr>
      </w:pPr>
      <w:r w:rsidRPr="00AB7354">
        <w:rPr>
          <w:rFonts w:ascii="Century" w:eastAsia="Times New Roman" w:hAnsi="Century" w:cs="Tahoma"/>
          <w:b/>
          <w:sz w:val="24"/>
          <w:szCs w:val="24"/>
          <w:u w:val="single"/>
          <w:lang w:val="es-ES" w:eastAsia="es-ES"/>
        </w:rPr>
        <w:t xml:space="preserve">Ficha técnica y/o pliego de condiciones </w:t>
      </w:r>
    </w:p>
    <w:p w14:paraId="1890CA63" w14:textId="77777777" w:rsidR="00CF6DD1" w:rsidRPr="00AB7354" w:rsidRDefault="00CF6DD1" w:rsidP="001B0C56">
      <w:pPr>
        <w:spacing w:after="0" w:line="240" w:lineRule="auto"/>
        <w:jc w:val="center"/>
        <w:rPr>
          <w:rFonts w:ascii="Century" w:eastAsia="Times New Roman" w:hAnsi="Century" w:cs="Tahoma"/>
          <w:b/>
          <w:sz w:val="24"/>
          <w:szCs w:val="24"/>
          <w:u w:val="single"/>
          <w:lang w:val="es-ES" w:eastAsia="es-ES"/>
        </w:rPr>
      </w:pPr>
    </w:p>
    <w:p w14:paraId="05B0F7CF" w14:textId="23888FAF" w:rsidR="00D25D90" w:rsidRPr="00AB7354" w:rsidRDefault="00AA4536" w:rsidP="00AA4536">
      <w:p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objetivo del presente documento es establecer el conjunto de cláusulas técnicas y administrativas, de naturaleza reglamentaria,</w:t>
      </w:r>
      <w:r w:rsidR="00A61462"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por el que se fijan los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requisitos, exigencias, y obligaciones de las personas naturales o</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 xml:space="preserve">jurídicas, nacionales, que deseen participar en el proceso de compras, bajo la modalidad de Compra Menor, para la “Adquisición De </w:t>
      </w:r>
      <w:r w:rsidR="004E2344">
        <w:rPr>
          <w:rFonts w:ascii="Century" w:eastAsia="Times New Roman" w:hAnsi="Century" w:cs="Tahoma"/>
          <w:bCs/>
          <w:sz w:val="24"/>
          <w:szCs w:val="24"/>
          <w:lang w:val="es-ES" w:eastAsia="es-ES"/>
        </w:rPr>
        <w:t>materiales eléctricos</w:t>
      </w:r>
      <w:bookmarkStart w:id="0" w:name="_GoBack"/>
      <w:bookmarkEnd w:id="0"/>
      <w:r w:rsidRPr="00AB7354">
        <w:rPr>
          <w:rFonts w:ascii="Century" w:eastAsia="Times New Roman" w:hAnsi="Century" w:cs="Tahoma"/>
          <w:bCs/>
          <w:sz w:val="24"/>
          <w:szCs w:val="24"/>
          <w:lang w:val="es-ES" w:eastAsia="es-ES"/>
        </w:rPr>
        <w:t>”, de acuerdo con las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condiciones fijadas en la siguiente ficha técnica.</w:t>
      </w:r>
    </w:p>
    <w:p w14:paraId="711F6A62" w14:textId="77777777" w:rsidR="00AA4536" w:rsidRPr="00AB7354" w:rsidRDefault="00AA4536" w:rsidP="00AA4536">
      <w:pPr>
        <w:spacing w:after="0" w:line="240" w:lineRule="auto"/>
        <w:jc w:val="both"/>
        <w:rPr>
          <w:rFonts w:ascii="Century" w:eastAsia="Times New Roman" w:hAnsi="Century" w:cs="Tahoma"/>
          <w:bCs/>
          <w:sz w:val="24"/>
          <w:szCs w:val="24"/>
          <w:lang w:val="es-ES" w:eastAsia="es-ES"/>
        </w:rPr>
      </w:pPr>
    </w:p>
    <w:p w14:paraId="5D41158E" w14:textId="77777777" w:rsidR="00AA4536" w:rsidRPr="00AB7354" w:rsidRDefault="00A237EE" w:rsidP="00AA4536">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Pr="00AB7354">
        <w:rPr>
          <w:rFonts w:ascii="Century" w:eastAsia="Times New Roman" w:hAnsi="Century" w:cs="Tahoma"/>
          <w:b/>
          <w:sz w:val="24"/>
          <w:szCs w:val="24"/>
          <w:lang w:val="es-ES" w:eastAsia="es-ES"/>
        </w:rPr>
        <w:t xml:space="preserve"> </w:t>
      </w:r>
      <w:r w:rsidR="00AA4536" w:rsidRPr="00AB7354">
        <w:rPr>
          <w:rFonts w:ascii="Century" w:eastAsia="Times New Roman" w:hAnsi="Century" w:cs="Tahoma"/>
          <w:b/>
          <w:sz w:val="24"/>
          <w:szCs w:val="24"/>
          <w:lang w:val="es-ES" w:eastAsia="es-ES"/>
        </w:rPr>
        <w:t>Requisitos para participar en el concurso</w:t>
      </w:r>
    </w:p>
    <w:p w14:paraId="24E4CE6A" w14:textId="77777777" w:rsidR="00AA4536" w:rsidRPr="00AB7354" w:rsidRDefault="00AA4536" w:rsidP="00AA4536">
      <w:pPr>
        <w:spacing w:after="0" w:line="240" w:lineRule="auto"/>
        <w:jc w:val="both"/>
        <w:rPr>
          <w:rFonts w:ascii="Century" w:eastAsia="Times New Roman" w:hAnsi="Century" w:cs="Tahoma"/>
          <w:b/>
          <w:sz w:val="24"/>
          <w:szCs w:val="24"/>
          <w:lang w:val="es-ES" w:eastAsia="es-ES"/>
        </w:rPr>
      </w:pPr>
    </w:p>
    <w:p w14:paraId="78CF8C93" w14:textId="77777777" w:rsidR="00644153" w:rsidRPr="00AB7354" w:rsidRDefault="00AA4536" w:rsidP="00941FEB">
      <w:pPr>
        <w:spacing w:after="0" w:line="240" w:lineRule="auto"/>
        <w:ind w:firstLine="360"/>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Las empresas participantes tendrán que:</w:t>
      </w:r>
    </w:p>
    <w:p w14:paraId="4D50DBF6"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p w14:paraId="3213503F" w14:textId="38E0B354" w:rsidR="00B24A80" w:rsidRPr="00AB7354" w:rsidRDefault="00C22878"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w:t>
      </w:r>
      <w:r w:rsidR="00644153" w:rsidRPr="00AB7354">
        <w:rPr>
          <w:rFonts w:ascii="Century" w:eastAsia="Times New Roman" w:hAnsi="Century" w:cs="Tahoma"/>
          <w:bCs/>
          <w:sz w:val="24"/>
          <w:szCs w:val="24"/>
          <w:lang w:val="es-ES" w:eastAsia="es-ES"/>
        </w:rPr>
        <w:t>ntregar muestra de los productos ofertados</w:t>
      </w:r>
      <w:r w:rsidR="004E2344">
        <w:rPr>
          <w:rFonts w:ascii="Century" w:eastAsia="Times New Roman" w:hAnsi="Century" w:cs="Tahoma"/>
          <w:bCs/>
          <w:sz w:val="24"/>
          <w:szCs w:val="24"/>
          <w:lang w:val="es-ES" w:eastAsia="es-ES"/>
        </w:rPr>
        <w:t>.</w:t>
      </w:r>
      <w:r w:rsidR="00B24A80" w:rsidRPr="00AB7354">
        <w:rPr>
          <w:rFonts w:ascii="Century" w:eastAsia="Times New Roman" w:hAnsi="Century" w:cs="Tahoma"/>
          <w:bCs/>
          <w:sz w:val="24"/>
          <w:szCs w:val="24"/>
          <w:lang w:val="es-ES" w:eastAsia="es-ES"/>
        </w:rPr>
        <w:t xml:space="preserve"> </w:t>
      </w:r>
    </w:p>
    <w:p w14:paraId="29FA5F99" w14:textId="77777777" w:rsidR="00644153" w:rsidRPr="00AB7354" w:rsidRDefault="00644153"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muestra debe ser entregada en una caja con todos los productos que el proveedor este ofertando la caja debe estar rotulada con el nombre de la empresa el teléfono y correo electrónico del representante. </w:t>
      </w:r>
    </w:p>
    <w:p w14:paraId="05323AD7" w14:textId="77777777" w:rsidR="00AA4536" w:rsidRPr="00AB7354" w:rsidRDefault="00AA4536"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Formulario de entrega de muestras (SNCC.F.056)</w:t>
      </w:r>
    </w:p>
    <w:p w14:paraId="7307FDCE" w14:textId="77777777" w:rsidR="00AA4536"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de Proveedores del Estado actualizado (RPE)</w:t>
      </w:r>
    </w:p>
    <w:p w14:paraId="14A0AE6A"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emitida por la Dirección General de Impuestos Internos (DGII) donde manifieste que el oferente está al día en el pago de sus obligaciones fiscales.</w:t>
      </w:r>
    </w:p>
    <w:p w14:paraId="734FE59B"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de la Tesorería de la Seguridad Social (TSS) vigente.</w:t>
      </w:r>
    </w:p>
    <w:p w14:paraId="5B2867FD"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Copia de Cédula de identidad del gerente o del representante legal autorizado a</w:t>
      </w:r>
    </w:p>
    <w:p w14:paraId="382A3857"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firmar.</w:t>
      </w:r>
    </w:p>
    <w:p w14:paraId="46C03CDE"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Mercantil.</w:t>
      </w:r>
    </w:p>
    <w:p w14:paraId="57EBF3A1" w14:textId="77777777" w:rsidR="00715199" w:rsidRPr="00AB7354" w:rsidRDefault="00715199" w:rsidP="00715199">
      <w:pPr>
        <w:spacing w:after="0" w:line="240" w:lineRule="auto"/>
        <w:ind w:left="360"/>
        <w:jc w:val="both"/>
        <w:rPr>
          <w:rFonts w:ascii="Century" w:eastAsia="Times New Roman" w:hAnsi="Century" w:cs="Tahoma"/>
          <w:bCs/>
          <w:sz w:val="24"/>
          <w:szCs w:val="24"/>
          <w:lang w:val="es-ES" w:eastAsia="es-ES"/>
        </w:rPr>
      </w:pPr>
    </w:p>
    <w:p w14:paraId="11EE3F4F" w14:textId="77777777" w:rsidR="00A237EE" w:rsidRPr="00AB7354" w:rsidRDefault="00715199" w:rsidP="00715199">
      <w:pPr>
        <w:spacing w:after="0" w:line="240" w:lineRule="auto"/>
        <w:ind w:left="360"/>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Forma de pago</w:t>
      </w:r>
    </w:p>
    <w:p w14:paraId="7BFF68AD" w14:textId="77777777" w:rsidR="00715199" w:rsidRPr="00AB7354" w:rsidRDefault="00715199" w:rsidP="00715199">
      <w:pPr>
        <w:spacing w:after="0" w:line="240" w:lineRule="auto"/>
        <w:ind w:left="360"/>
        <w:jc w:val="both"/>
        <w:rPr>
          <w:rFonts w:ascii="Century" w:eastAsia="Times New Roman" w:hAnsi="Century" w:cs="Tahoma"/>
          <w:b/>
          <w:sz w:val="24"/>
          <w:szCs w:val="24"/>
          <w:lang w:val="es-ES" w:eastAsia="es-ES"/>
        </w:rPr>
      </w:pPr>
    </w:p>
    <w:p w14:paraId="105FB0C8" w14:textId="77777777" w:rsidR="00715199" w:rsidRPr="00AB7354" w:rsidRDefault="00715199" w:rsidP="00715199">
      <w:pPr>
        <w:pStyle w:val="Prrafodelista"/>
        <w:numPr>
          <w:ilvl w:val="0"/>
          <w:numId w:val="5"/>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Crédito</w:t>
      </w:r>
    </w:p>
    <w:p w14:paraId="420DACEB"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21AF790E"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4C9A9E5F" w14:textId="77777777" w:rsidR="00AB7354" w:rsidRPr="00AB7354" w:rsidRDefault="00AB7354" w:rsidP="00AB7354">
      <w:pPr>
        <w:tabs>
          <w:tab w:val="left" w:pos="0"/>
        </w:tabs>
        <w:autoSpaceDE w:val="0"/>
        <w:autoSpaceDN w:val="0"/>
        <w:adjustRightInd w:val="0"/>
        <w:spacing w:after="0" w:line="240" w:lineRule="auto"/>
        <w:ind w:left="540"/>
        <w:jc w:val="both"/>
        <w:rPr>
          <w:rFonts w:ascii="Century" w:hAnsi="Century" w:cs="Arial"/>
          <w:color w:val="000000"/>
          <w:sz w:val="24"/>
          <w:szCs w:val="24"/>
          <w:lang w:val="es-ES"/>
        </w:rPr>
      </w:pPr>
    </w:p>
    <w:p w14:paraId="62BA73E2" w14:textId="4CE44E6C" w:rsidR="00AB7354" w:rsidRPr="00AB7354" w:rsidRDefault="00AB7354" w:rsidP="00AB7354">
      <w:pPr>
        <w:pStyle w:val="Ttulo3"/>
        <w:rPr>
          <w:rFonts w:ascii="Century" w:hAnsi="Century"/>
          <w:b/>
          <w:bCs/>
          <w:color w:val="000000" w:themeColor="text1"/>
        </w:rPr>
      </w:pPr>
      <w:r w:rsidRPr="00AB7354">
        <w:rPr>
          <w:rFonts w:ascii="Century" w:hAnsi="Century"/>
          <w:b/>
          <w:bCs/>
          <w:color w:val="000000" w:themeColor="text1"/>
        </w:rPr>
        <w:lastRenderedPageBreak/>
        <w:t xml:space="preserve">Consultas, circulares y enmiendas </w:t>
      </w:r>
    </w:p>
    <w:p w14:paraId="25FC88FC"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 xml:space="preserve">Los interesados podrán solicitar al CECANOT aclaraciones acerca de las Fichas Técnicas, hasta la fecha que coincida con el </w:t>
      </w:r>
      <w:r w:rsidRPr="00AB7354">
        <w:rPr>
          <w:rFonts w:ascii="Century" w:hAnsi="Century" w:cs="Arial"/>
          <w:b/>
          <w:sz w:val="24"/>
          <w:szCs w:val="24"/>
        </w:rPr>
        <w:t>CINCUENTA POR CIENTO (50%)</w:t>
      </w:r>
      <w:r w:rsidRPr="00AB7354">
        <w:rPr>
          <w:rFonts w:ascii="Century" w:hAnsi="Century" w:cs="Arial"/>
          <w:sz w:val="24"/>
          <w:szCs w:val="24"/>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 w:name="_Toc379797385"/>
      <w:bookmarkStart w:id="2" w:name="_Toc185953156"/>
      <w:bookmarkStart w:id="3" w:name="_Toc159673583"/>
      <w:r w:rsidRPr="00AB7354">
        <w:rPr>
          <w:rFonts w:ascii="Century" w:hAnsi="Century" w:cs="Arial"/>
          <w:sz w:val="24"/>
          <w:szCs w:val="24"/>
        </w:rPr>
        <w:t>me a la naturaleza de la misma.</w:t>
      </w:r>
    </w:p>
    <w:p w14:paraId="641FE3E4" w14:textId="77777777" w:rsidR="00AB7354" w:rsidRPr="00AB7354" w:rsidRDefault="00AB7354" w:rsidP="00AB7354">
      <w:pPr>
        <w:pStyle w:val="Ttulo3"/>
        <w:rPr>
          <w:rStyle w:val="Hipervnculo"/>
          <w:rFonts w:ascii="Century" w:hAnsi="Century"/>
          <w:b/>
          <w:bCs/>
          <w:color w:val="000000" w:themeColor="text1"/>
        </w:rPr>
      </w:pPr>
      <w:r w:rsidRPr="00AB7354">
        <w:rPr>
          <w:rFonts w:ascii="Century" w:hAnsi="Century"/>
          <w:b/>
          <w:bCs/>
          <w:color w:val="000000" w:themeColor="text1"/>
        </w:rPr>
        <w:t>*Dirección</w:t>
      </w:r>
      <w:bookmarkEnd w:id="1"/>
      <w:bookmarkEnd w:id="2"/>
      <w:bookmarkEnd w:id="3"/>
      <w:r w:rsidRPr="00AB7354">
        <w:rPr>
          <w:rFonts w:ascii="Century" w:hAnsi="Century"/>
          <w:b/>
          <w:bCs/>
          <w:color w:val="000000" w:themeColor="text1"/>
        </w:rPr>
        <w:t xml:space="preserve"> de correo electrónico: </w:t>
      </w:r>
      <w:hyperlink r:id="rId8" w:history="1">
        <w:r w:rsidRPr="00AB7354">
          <w:rPr>
            <w:rStyle w:val="Hipervnculo"/>
            <w:rFonts w:ascii="Century" w:hAnsi="Century"/>
            <w:b/>
            <w:bCs/>
            <w:color w:val="000000" w:themeColor="text1"/>
          </w:rPr>
          <w:t>compras@cecanot.com.do</w:t>
        </w:r>
      </w:hyperlink>
    </w:p>
    <w:p w14:paraId="36769272" w14:textId="77777777" w:rsidR="00AB7354" w:rsidRPr="00AB7354" w:rsidRDefault="00AB7354" w:rsidP="00AB7354">
      <w:pPr>
        <w:rPr>
          <w:rFonts w:ascii="Century" w:hAnsi="Century"/>
          <w:sz w:val="24"/>
          <w:szCs w:val="24"/>
          <w:lang w:val="es-ES" w:eastAsia="es-ES"/>
        </w:rPr>
      </w:pPr>
    </w:p>
    <w:p w14:paraId="7DDCF979" w14:textId="77777777" w:rsidR="00AB7354" w:rsidRPr="00AB7354" w:rsidRDefault="00AB7354" w:rsidP="00AB7354">
      <w:pPr>
        <w:pStyle w:val="Textoindependiente"/>
        <w:rPr>
          <w:rFonts w:ascii="Century" w:hAnsi="Century" w:cs="Arial"/>
          <w:color w:val="auto"/>
        </w:rPr>
      </w:pPr>
      <w:r w:rsidRPr="00AB7354">
        <w:rPr>
          <w:rFonts w:ascii="Century" w:hAnsi="Century" w:cs="Arial"/>
          <w:color w:val="auto"/>
        </w:rPr>
        <w:t>Las Consultas se remitirán al Comité de Compras y Contrataciones, dirigidas a:</w:t>
      </w:r>
    </w:p>
    <w:p w14:paraId="215BA3E6" w14:textId="77777777" w:rsidR="00AB7354" w:rsidRPr="00AB7354" w:rsidRDefault="00AB7354" w:rsidP="00AB7354">
      <w:pPr>
        <w:spacing w:after="0"/>
        <w:jc w:val="both"/>
        <w:rPr>
          <w:rFonts w:ascii="Century" w:hAnsi="Century" w:cs="Arial"/>
          <w:sz w:val="24"/>
          <w:szCs w:val="24"/>
        </w:rPr>
      </w:pPr>
    </w:p>
    <w:p w14:paraId="53AB7BA8" w14:textId="77777777" w:rsidR="00AB7354" w:rsidRPr="00AB7354" w:rsidRDefault="00AB7354" w:rsidP="00AB7354">
      <w:pPr>
        <w:spacing w:after="0"/>
        <w:rPr>
          <w:rFonts w:ascii="Century" w:hAnsi="Century" w:cs="Arial"/>
          <w:sz w:val="24"/>
          <w:szCs w:val="24"/>
        </w:rPr>
      </w:pPr>
      <w:r w:rsidRPr="00AB7354">
        <w:rPr>
          <w:rFonts w:ascii="Century" w:hAnsi="Century" w:cs="Arial"/>
          <w:sz w:val="24"/>
          <w:szCs w:val="24"/>
        </w:rPr>
        <w:t>COMITÉ DE COMPRAS Y CONTRATACIONES</w:t>
      </w:r>
    </w:p>
    <w:p w14:paraId="74B3B259" w14:textId="77777777" w:rsidR="00AB7354" w:rsidRPr="00AB7354" w:rsidRDefault="00AB7354" w:rsidP="00AB7354">
      <w:pPr>
        <w:spacing w:after="0"/>
        <w:rPr>
          <w:rFonts w:ascii="Century" w:hAnsi="Century" w:cs="Arial"/>
          <w:b/>
          <w:sz w:val="24"/>
          <w:szCs w:val="24"/>
        </w:rPr>
      </w:pPr>
      <w:r w:rsidRPr="00AB7354">
        <w:rPr>
          <w:rFonts w:ascii="Century" w:hAnsi="Century" w:cs="Arial"/>
          <w:b/>
          <w:sz w:val="24"/>
          <w:szCs w:val="24"/>
        </w:rPr>
        <w:t xml:space="preserve">Centro Cardio Neuro Oftalmológico y Trasplante </w:t>
      </w:r>
    </w:p>
    <w:p w14:paraId="2CCDE3C3"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Dirección:</w:t>
      </w:r>
      <w:r w:rsidRPr="00AB7354">
        <w:rPr>
          <w:rFonts w:ascii="Century" w:hAnsi="Century" w:cs="Arial"/>
          <w:sz w:val="24"/>
          <w:szCs w:val="24"/>
        </w:rPr>
        <w:t xml:space="preserve"> Calle Federico Velásquez No. 1, sector María Auxiliadora</w:t>
      </w:r>
    </w:p>
    <w:p w14:paraId="71A78B2D"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Teléfonos:</w:t>
      </w:r>
      <w:r w:rsidRPr="00AB7354">
        <w:rPr>
          <w:rFonts w:ascii="Century" w:hAnsi="Century" w:cs="Arial"/>
          <w:sz w:val="24"/>
          <w:szCs w:val="24"/>
        </w:rPr>
        <w:t xml:space="preserve"> (809) 681-0080 Ext. 230</w:t>
      </w:r>
    </w:p>
    <w:p w14:paraId="4393274C" w14:textId="77777777" w:rsidR="00AB7354" w:rsidRPr="00AB7354" w:rsidRDefault="00AB7354" w:rsidP="00AB7354">
      <w:pPr>
        <w:spacing w:after="0"/>
        <w:rPr>
          <w:rFonts w:ascii="Century" w:hAnsi="Century" w:cs="Arial"/>
          <w:sz w:val="24"/>
          <w:szCs w:val="24"/>
        </w:rPr>
      </w:pPr>
    </w:p>
    <w:p w14:paraId="7F576273"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AB7354">
        <w:rPr>
          <w:rFonts w:ascii="Century" w:hAnsi="Century" w:cs="Arial"/>
          <w:b/>
          <w:sz w:val="24"/>
          <w:szCs w:val="24"/>
        </w:rPr>
        <w:t xml:space="preserve"> SETENTA Y CINCO POR CIENTO(75%)</w:t>
      </w:r>
      <w:r w:rsidRPr="00AB7354">
        <w:rPr>
          <w:rFonts w:ascii="Century" w:hAnsi="Century" w:cs="Arial"/>
          <w:sz w:val="24"/>
          <w:szCs w:val="24"/>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5668DFCB"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rPr>
          <w:rFonts w:ascii="Century" w:hAnsi="Century"/>
          <w:b/>
          <w:bCs/>
          <w:color w:val="000000" w:themeColor="text1"/>
        </w:rPr>
      </w:pPr>
      <w:bookmarkStart w:id="4" w:name="_Toc379797386"/>
      <w:bookmarkStart w:id="5" w:name="_Toc185953157"/>
      <w:bookmarkStart w:id="6" w:name="_Toc159673584"/>
      <w:r w:rsidRPr="00AB7354">
        <w:rPr>
          <w:rFonts w:ascii="Century" w:hAnsi="Century"/>
          <w:b/>
          <w:bCs/>
          <w:color w:val="000000" w:themeColor="text1"/>
        </w:rPr>
        <w:t xml:space="preserve"> Circulares</w:t>
      </w:r>
      <w:bookmarkEnd w:id="4"/>
      <w:bookmarkEnd w:id="5"/>
      <w:bookmarkEnd w:id="6"/>
    </w:p>
    <w:p w14:paraId="105E5F11"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0F71CD5F"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ind w:left="785"/>
        <w:rPr>
          <w:rFonts w:ascii="Century" w:hAnsi="Century"/>
          <w:b/>
          <w:bCs/>
          <w:color w:val="000000" w:themeColor="text1"/>
        </w:rPr>
      </w:pPr>
      <w:bookmarkStart w:id="7" w:name="_Toc379797387"/>
      <w:bookmarkStart w:id="8" w:name="_Toc185953158"/>
      <w:bookmarkStart w:id="9" w:name="_Toc159673585"/>
      <w:r w:rsidRPr="00AB7354">
        <w:rPr>
          <w:rFonts w:ascii="Century" w:hAnsi="Century"/>
          <w:b/>
          <w:bCs/>
          <w:color w:val="000000" w:themeColor="text1"/>
        </w:rPr>
        <w:lastRenderedPageBreak/>
        <w:t xml:space="preserve"> Enmiendas</w:t>
      </w:r>
      <w:bookmarkEnd w:id="7"/>
      <w:bookmarkEnd w:id="8"/>
      <w:bookmarkEnd w:id="9"/>
    </w:p>
    <w:p w14:paraId="1BE05FD9"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09C9D35D"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Tanto las Enmiendas como las Circulares emitidas por el Comité de Compras y Contrataciones pasarán a constituir parte integral del Pliego de Condiciones y en consecuencia, serán de cumplimiento obligatorio para todos los Oferentes/Proponentes.</w:t>
      </w:r>
    </w:p>
    <w:p w14:paraId="05BDB7CF" w14:textId="77777777" w:rsidR="00AB7354" w:rsidRPr="00AB7354" w:rsidRDefault="00AB7354" w:rsidP="00AB7354">
      <w:pPr>
        <w:pStyle w:val="Textoindependiente"/>
        <w:rPr>
          <w:rFonts w:ascii="Century" w:hAnsi="Century" w:cs="Arial"/>
        </w:rPr>
      </w:pPr>
    </w:p>
    <w:p w14:paraId="117110A5" w14:textId="39F64FA7"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0" w:name="_Toc271530532"/>
      <w:bookmarkStart w:id="11" w:name="_Toc410128616"/>
      <w:r w:rsidRPr="00AB7354">
        <w:rPr>
          <w:rFonts w:ascii="Century" w:eastAsia="Times New Roman" w:hAnsi="Century" w:cs="Arial"/>
          <w:b/>
          <w:bCs/>
          <w:sz w:val="24"/>
          <w:szCs w:val="24"/>
          <w:lang w:val="es-ES" w:eastAsia="es-ES"/>
        </w:rPr>
        <w:t xml:space="preserve">Criterios de </w:t>
      </w:r>
      <w:bookmarkEnd w:id="10"/>
      <w:r w:rsidRPr="00AB7354">
        <w:rPr>
          <w:rFonts w:ascii="Century" w:eastAsia="Times New Roman" w:hAnsi="Century" w:cs="Arial"/>
          <w:b/>
          <w:bCs/>
          <w:sz w:val="24"/>
          <w:szCs w:val="24"/>
          <w:lang w:val="es-ES" w:eastAsia="es-ES"/>
        </w:rPr>
        <w:t>Evaluación</w:t>
      </w:r>
      <w:bookmarkEnd w:id="11"/>
    </w:p>
    <w:p w14:paraId="3998461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Las Propuestas deberán contener la documentación necesaria, suficiente y fehaciente para demostrar los siguientes aspectos que serán verificados bajo la modalidad “CUMPLE/ NO CUMPLE”:</w:t>
      </w:r>
    </w:p>
    <w:p w14:paraId="21C6748B"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Elegibilidad: Que el Proponente está legalmente autorizado para realizar sus actividades comerciales en el país.</w:t>
      </w:r>
    </w:p>
    <w:p w14:paraId="5571C034"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Capacidad Técnica: Que los Bienes cumplan con las todas características especificadas en las Fichas Técnicas. </w:t>
      </w:r>
    </w:p>
    <w:p w14:paraId="521616DB" w14:textId="7E345D90"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2" w:name="_Toc410128617"/>
      <w:bookmarkStart w:id="13" w:name="_Toc271530533"/>
      <w:r w:rsidRPr="00AB7354">
        <w:rPr>
          <w:rFonts w:ascii="Century" w:eastAsia="Times New Roman" w:hAnsi="Century" w:cs="Arial"/>
          <w:b/>
          <w:bCs/>
          <w:sz w:val="24"/>
          <w:szCs w:val="24"/>
          <w:lang w:val="es-ES" w:eastAsia="es-ES"/>
        </w:rPr>
        <w:t>Fase de Homologación</w:t>
      </w:r>
      <w:bookmarkEnd w:id="12"/>
      <w:bookmarkEnd w:id="13"/>
    </w:p>
    <w:p w14:paraId="3477B636" w14:textId="77777777" w:rsidR="00AB7354" w:rsidRPr="00AB7354" w:rsidRDefault="00AB7354" w:rsidP="00AB7354">
      <w:pPr>
        <w:jc w:val="both"/>
        <w:rPr>
          <w:rFonts w:ascii="Century" w:eastAsia="Calibri" w:hAnsi="Century" w:cs="Arial"/>
          <w:color w:val="000000" w:themeColor="text1"/>
          <w:sz w:val="24"/>
          <w:szCs w:val="24"/>
        </w:rPr>
      </w:pPr>
      <w:r w:rsidRPr="00AB7354">
        <w:rPr>
          <w:rFonts w:ascii="Century" w:eastAsia="Calibri" w:hAnsi="Century" w:cs="Arial"/>
          <w:color w:val="000000" w:themeColor="text1"/>
          <w:sz w:val="24"/>
          <w:szCs w:val="24"/>
        </w:rPr>
        <w:t>Una vez concluida la recepción de los “Sobres A”, se procederá a la valoración de las muestras, si aplica, de acuerdo con las especificaciones requeridas en las Fichas Técnicas y a la ponderación de la documentación solicitada al efecto, bajo la modalidad “CUMPLE/ NO CUMPLE”.</w:t>
      </w:r>
    </w:p>
    <w:p w14:paraId="6F96099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Para que un Bien pueda ser considerado CONFORME, deberá cumplir con todas y cada una de las características contenidas en las referidas Fichas Técnicas. Es decir que, el no cumplimiento en una de las especificaciones implica la </w:t>
      </w:r>
      <w:r w:rsidRPr="00AB7354">
        <w:rPr>
          <w:rFonts w:ascii="Century" w:eastAsia="Calibri" w:hAnsi="Century" w:cs="Arial"/>
          <w:sz w:val="24"/>
          <w:szCs w:val="24"/>
        </w:rPr>
        <w:lastRenderedPageBreak/>
        <w:t>descalificación de la Oferta y la declaración de NO CONFORME del Bien ofertado.</w:t>
      </w:r>
    </w:p>
    <w:p w14:paraId="69FB97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73E6CD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Los Peritos emitirán su informe al Comité de Compras y Contrataciones sobre los resultados de la evaluación de las Propuestas Técnicas “Sobre A”, a los fines de la recomendación final.</w:t>
      </w:r>
    </w:p>
    <w:p w14:paraId="785D8111"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 Comité de Compras y Contrataciones evaluará y comparará únicamente las Ofertas que se ajustan sustancialmente al presente Pliego de Condiciones Específicas y que hayan sido evaluadas técnicamente como CONFORME, bajo el criterio del menor precio ofertado.</w:t>
      </w:r>
    </w:p>
    <w:p w14:paraId="06058D70" w14:textId="395A9AB3"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4" w:name="_Toc410128624"/>
      <w:r w:rsidRPr="00AB7354">
        <w:rPr>
          <w:rFonts w:ascii="Century" w:eastAsia="Times New Roman" w:hAnsi="Century" w:cs="Arial"/>
          <w:b/>
          <w:bCs/>
          <w:sz w:val="24"/>
          <w:szCs w:val="24"/>
          <w:lang w:val="es-ES" w:eastAsia="es-ES"/>
        </w:rPr>
        <w:t>Criterios de Adjudicación</w:t>
      </w:r>
      <w:bookmarkEnd w:id="14"/>
    </w:p>
    <w:p w14:paraId="1E0FC24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5D9CE74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67622FB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Si se presentase una sola Oferta, ella deberá ser considerada y se procederá a la Adjudicación, si habiendo cumplido con lo exigido en el Pliego de Condiciones Específicas, se le considera conveniente a los intereses de la Institución.</w:t>
      </w:r>
    </w:p>
    <w:p w14:paraId="3CCD68E8" w14:textId="77777777" w:rsidR="00AB7354" w:rsidRPr="00AB7354" w:rsidRDefault="00AB7354" w:rsidP="00AB7354">
      <w:pPr>
        <w:pStyle w:val="Textoindependiente"/>
        <w:rPr>
          <w:rFonts w:ascii="Century" w:hAnsi="Century" w:cs="Arial"/>
        </w:rPr>
      </w:pPr>
    </w:p>
    <w:p w14:paraId="2F3E5590" w14:textId="77777777" w:rsidR="00AB7354" w:rsidRPr="00AB7354" w:rsidRDefault="00AB7354" w:rsidP="00AB7354">
      <w:pPr>
        <w:pStyle w:val="Textoindependiente"/>
        <w:rPr>
          <w:rFonts w:ascii="Century" w:hAnsi="Century" w:cs="Arial"/>
          <w:b/>
        </w:rPr>
      </w:pPr>
      <w:r w:rsidRPr="00AB7354">
        <w:rPr>
          <w:rFonts w:ascii="Century" w:hAnsi="Century" w:cs="Arial"/>
          <w:b/>
        </w:rPr>
        <w:lastRenderedPageBreak/>
        <w:t>No se considerarán válidas las Ofertas Técnicas de aquellos productos de los que no se hayan recibido las muestras correspondientes.</w:t>
      </w:r>
    </w:p>
    <w:p w14:paraId="05654185" w14:textId="77777777" w:rsidR="00AB7354" w:rsidRPr="00AB7354" w:rsidRDefault="00AB7354" w:rsidP="00AB7354">
      <w:pPr>
        <w:pStyle w:val="Textoindependiente"/>
        <w:rPr>
          <w:rFonts w:ascii="Century" w:hAnsi="Century" w:cs="Arial"/>
          <w:b/>
        </w:rPr>
      </w:pPr>
    </w:p>
    <w:p w14:paraId="188F3461" w14:textId="77777777" w:rsidR="00AB7354" w:rsidRPr="00AB7354" w:rsidRDefault="00AB7354" w:rsidP="00AB7354">
      <w:pPr>
        <w:pStyle w:val="Textoindependiente"/>
        <w:rPr>
          <w:rFonts w:ascii="Century" w:hAnsi="Century" w:cs="Arial"/>
          <w:b/>
          <w:bCs/>
        </w:rPr>
      </w:pPr>
      <w:r w:rsidRPr="00AB7354">
        <w:rPr>
          <w:rFonts w:ascii="Century" w:hAnsi="Century" w:cs="Arial"/>
          <w:b/>
          <w:bCs/>
        </w:rPr>
        <w:t>Deberán presentar el Formulario de Entrega de Muestras.</w:t>
      </w:r>
    </w:p>
    <w:p w14:paraId="63C3E513" w14:textId="77777777" w:rsidR="00941FEB" w:rsidRPr="00AB7354" w:rsidRDefault="00941FEB" w:rsidP="00AB7354">
      <w:pPr>
        <w:spacing w:after="0" w:line="240" w:lineRule="auto"/>
        <w:ind w:left="720"/>
        <w:jc w:val="both"/>
        <w:rPr>
          <w:rFonts w:ascii="Century" w:hAnsi="Century"/>
          <w:sz w:val="24"/>
          <w:szCs w:val="24"/>
          <w:lang w:val="es-ES" w:eastAsia="es-ES"/>
        </w:rPr>
      </w:pPr>
    </w:p>
    <w:p w14:paraId="6D3805AE"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648A52E6" w14:textId="77777777" w:rsidR="00941FEB" w:rsidRPr="00AB7354" w:rsidRDefault="00941FEB" w:rsidP="00B24A80">
      <w:pPr>
        <w:spacing w:after="0" w:line="240" w:lineRule="auto"/>
        <w:jc w:val="both"/>
        <w:rPr>
          <w:rFonts w:ascii="Century" w:eastAsia="Times New Roman" w:hAnsi="Century" w:cs="Tahoma"/>
          <w:b/>
          <w:sz w:val="24"/>
          <w:szCs w:val="24"/>
          <w:lang w:val="es-ES" w:eastAsia="es-ES"/>
        </w:rPr>
      </w:pPr>
    </w:p>
    <w:p w14:paraId="299B2D4E" w14:textId="77777777" w:rsidR="00941FEB" w:rsidRPr="00AB7354" w:rsidRDefault="00A237EE" w:rsidP="00941FEB">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B24A80"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00941FEB" w:rsidRPr="00AB7354">
        <w:rPr>
          <w:rFonts w:ascii="Century" w:eastAsia="Times New Roman" w:hAnsi="Century" w:cs="Tahoma"/>
          <w:b/>
          <w:sz w:val="24"/>
          <w:szCs w:val="24"/>
          <w:lang w:val="es-ES" w:eastAsia="es-ES"/>
        </w:rPr>
        <w:tab/>
      </w:r>
      <w:r w:rsidR="00B24A80" w:rsidRPr="00AB7354">
        <w:rPr>
          <w:rFonts w:ascii="Century" w:eastAsia="Times New Roman" w:hAnsi="Century" w:cs="Tahoma"/>
          <w:b/>
          <w:sz w:val="24"/>
          <w:szCs w:val="24"/>
          <w:lang w:val="es-ES" w:eastAsia="es-ES"/>
        </w:rPr>
        <w:t xml:space="preserve">Nota aclaratoria </w:t>
      </w:r>
    </w:p>
    <w:p w14:paraId="4125C474" w14:textId="77777777" w:rsidR="00C22878" w:rsidRPr="00AB7354" w:rsidRDefault="00C22878" w:rsidP="00B24A80">
      <w:pPr>
        <w:spacing w:after="0" w:line="240" w:lineRule="auto"/>
        <w:jc w:val="both"/>
        <w:rPr>
          <w:rFonts w:ascii="Century" w:eastAsia="Times New Roman" w:hAnsi="Century" w:cs="Tahoma"/>
          <w:bCs/>
          <w:sz w:val="24"/>
          <w:szCs w:val="24"/>
          <w:lang w:val="es-ES" w:eastAsia="es-ES"/>
        </w:rPr>
      </w:pPr>
    </w:p>
    <w:p w14:paraId="60EE7C0B" w14:textId="77777777" w:rsidR="00A237EE"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Los productos ofertados deben ser de calidad y marcas reconocidas.</w:t>
      </w:r>
    </w:p>
    <w:p w14:paraId="38198D09" w14:textId="77777777" w:rsidR="00C22878"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Productos frescos con un mínimo de vencimiento de 3 meses para los que apliquen. </w:t>
      </w:r>
    </w:p>
    <w:p w14:paraId="47446058" w14:textId="77777777" w:rsidR="00C22878" w:rsidRPr="00AB7354" w:rsidRDefault="00C22878" w:rsidP="00C22878">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requerimiento de las muestras es con el fin de evaluar la calidad de los productos ofertados por los participantes, al momento de despachar, lo solicitado debe coincidir con las muestras entregadas.</w:t>
      </w:r>
    </w:p>
    <w:p w14:paraId="62132A06" w14:textId="0B47A376" w:rsidR="00B24A80" w:rsidRPr="00AB7354" w:rsidRDefault="00B24A80" w:rsidP="00A237EE">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Las entregas serán fraccionadas, </w:t>
      </w:r>
      <w:r w:rsidR="006B203F">
        <w:rPr>
          <w:rFonts w:ascii="Century" w:eastAsia="Times New Roman" w:hAnsi="Century" w:cs="Tahoma"/>
          <w:bCs/>
          <w:sz w:val="24"/>
          <w:szCs w:val="24"/>
          <w:lang w:val="es-ES" w:eastAsia="es-ES"/>
        </w:rPr>
        <w:t>en dos partidas la primera con la orden y la segunda a solicitud del encargado del área</w:t>
      </w:r>
      <w:r w:rsidRPr="00AB7354">
        <w:rPr>
          <w:rFonts w:ascii="Century" w:eastAsia="Times New Roman" w:hAnsi="Century" w:cs="Tahoma"/>
          <w:bCs/>
          <w:sz w:val="24"/>
          <w:szCs w:val="24"/>
          <w:lang w:val="es-ES" w:eastAsia="es-ES"/>
        </w:rPr>
        <w:t xml:space="preserve">, indicando las cantidades requeridas, hasta agotar las cantidades. </w:t>
      </w:r>
    </w:p>
    <w:p w14:paraId="14400851" w14:textId="77777777" w:rsidR="00941FEB" w:rsidRPr="00AB7354" w:rsidRDefault="00941FEB" w:rsidP="00A237EE">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adjudicación será por lote, el detalle de los artículos o productos solicitados se encuentran </w:t>
      </w:r>
      <w:r w:rsidR="00E10895" w:rsidRPr="00AB7354">
        <w:rPr>
          <w:rFonts w:ascii="Century" w:eastAsia="Times New Roman" w:hAnsi="Century" w:cs="Tahoma"/>
          <w:bCs/>
          <w:sz w:val="24"/>
          <w:szCs w:val="24"/>
          <w:lang w:val="es-ES" w:eastAsia="es-ES"/>
        </w:rPr>
        <w:t xml:space="preserve">en el </w:t>
      </w:r>
      <w:r w:rsidRPr="00AB7354">
        <w:rPr>
          <w:rFonts w:ascii="Century" w:eastAsia="Times New Roman" w:hAnsi="Century" w:cs="Tahoma"/>
          <w:bCs/>
          <w:sz w:val="24"/>
          <w:szCs w:val="24"/>
          <w:lang w:val="es-ES" w:eastAsia="es-ES"/>
        </w:rPr>
        <w:t>anexo.</w:t>
      </w:r>
    </w:p>
    <w:p w14:paraId="778BC09F"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p>
    <w:p w14:paraId="4769929D"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p>
    <w:p w14:paraId="382A7ECE" w14:textId="77777777" w:rsidR="00876FED" w:rsidRPr="00AB7354" w:rsidRDefault="00941FEB" w:rsidP="00876FED">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ANEXO </w:t>
      </w:r>
      <w:r w:rsidR="00876FED" w:rsidRPr="00AB7354">
        <w:rPr>
          <w:rFonts w:ascii="Century" w:eastAsia="Times New Roman" w:hAnsi="Century" w:cs="Tahoma"/>
          <w:b/>
          <w:sz w:val="24"/>
          <w:szCs w:val="24"/>
          <w:lang w:val="es-ES" w:eastAsia="es-ES"/>
        </w:rPr>
        <w:t xml:space="preserve">LISTADO DE PRODUCTOS SOLICITADOS </w:t>
      </w:r>
    </w:p>
    <w:p w14:paraId="514F82A5"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sectPr w:rsidR="00644153" w:rsidRPr="00AB7354" w:rsidSect="00C504AA">
      <w:headerReference w:type="default" r:id="rId9"/>
      <w:footerReference w:type="default" r:id="rId10"/>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9F4FC" w14:textId="77777777" w:rsidR="00905A97" w:rsidRDefault="00905A97" w:rsidP="00E839EC">
      <w:pPr>
        <w:spacing w:after="0" w:line="240" w:lineRule="auto"/>
      </w:pPr>
      <w:r>
        <w:separator/>
      </w:r>
    </w:p>
  </w:endnote>
  <w:endnote w:type="continuationSeparator" w:id="0">
    <w:p w14:paraId="308D7043" w14:textId="77777777" w:rsidR="00905A97" w:rsidRDefault="00905A97" w:rsidP="00E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C0A7" w14:textId="77777777" w:rsidR="00E839EC" w:rsidRDefault="007A52EF" w:rsidP="00E839EC">
    <w:pPr>
      <w:pStyle w:val="Piedepgina"/>
      <w:rPr>
        <w:noProof/>
        <w:color w:val="006666"/>
      </w:rPr>
    </w:pPr>
    <w:r>
      <w:rPr>
        <w:noProof/>
        <w:color w:val="006666"/>
      </w:rPr>
      <mc:AlternateContent>
        <mc:Choice Requires="wps">
          <w:drawing>
            <wp:anchor distT="0" distB="0" distL="114300" distR="114300" simplePos="0" relativeHeight="251663360" behindDoc="0" locked="0" layoutInCell="1" allowOverlap="1" wp14:anchorId="323172C3" wp14:editId="2E0C5E42">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C5A5734" id="3 Conector recto"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276C7533" w14:textId="77777777" w:rsidR="00E839EC" w:rsidRDefault="007A52EF" w:rsidP="00E839EC">
    <w:pPr>
      <w:pStyle w:val="Piedepgina"/>
      <w:jc w:val="center"/>
      <w:rPr>
        <w:noProof/>
        <w:color w:val="006666"/>
      </w:rPr>
    </w:pPr>
    <w:r>
      <w:rPr>
        <w:noProof/>
        <w:color w:val="006666"/>
      </w:rPr>
      <mc:AlternateContent>
        <mc:Choice Requires="wps">
          <w:drawing>
            <wp:anchor distT="0" distB="0" distL="114300" distR="114300" simplePos="0" relativeHeight="251662336" behindDoc="0" locked="0" layoutInCell="1" allowOverlap="1" wp14:anchorId="2B88E564" wp14:editId="3DD4F7E2">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6CEE238" id="72 Conector recto"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06D8F7A7" w14:textId="77777777" w:rsidR="00E839EC" w:rsidRDefault="00E839EC" w:rsidP="00E839EC">
    <w:pPr>
      <w:pStyle w:val="Piedepgina"/>
      <w:jc w:val="center"/>
      <w:rPr>
        <w:noProof/>
        <w:color w:val="006666"/>
      </w:rPr>
    </w:pPr>
  </w:p>
  <w:p w14:paraId="4CA17824" w14:textId="77777777" w:rsidR="00E839EC" w:rsidRDefault="00E839EC" w:rsidP="00E839EC">
    <w:pPr>
      <w:pStyle w:val="Piedepgina"/>
      <w:jc w:val="center"/>
      <w:rPr>
        <w:rFonts w:ascii="Calibri" w:eastAsia="Calibri" w:hAnsi="Calibri" w:cs="Times New Roman"/>
        <w:b/>
        <w:sz w:val="16"/>
        <w:szCs w:val="16"/>
      </w:rPr>
    </w:pPr>
    <w:r>
      <w:rPr>
        <w:rFonts w:ascii="Calibri" w:eastAsia="Calibri" w:hAnsi="Calibri" w:cs="Times New Roman"/>
        <w:b/>
        <w:sz w:val="16"/>
        <w:szCs w:val="16"/>
      </w:rPr>
      <w:t>Calle Federico Velázquez No.1, María Auxiliadora, Santo Domingo, D.N., Rep. Dom. Tel. 809-681-0080/Fax. 809-845-4765</w:t>
    </w:r>
  </w:p>
  <w:p w14:paraId="698AD8F0" w14:textId="77777777" w:rsidR="00E839EC" w:rsidRPr="0023567C" w:rsidRDefault="00E839EC" w:rsidP="00E839EC">
    <w:pPr>
      <w:pStyle w:val="Piedepgina"/>
      <w:jc w:val="center"/>
      <w:rPr>
        <w:b/>
        <w:sz w:val="16"/>
        <w:szCs w:val="16"/>
      </w:rPr>
    </w:pPr>
    <w:proofErr w:type="spellStart"/>
    <w:r>
      <w:rPr>
        <w:rFonts w:ascii="Calibri" w:eastAsia="Calibri" w:hAnsi="Calibri" w:cs="Times New Roman"/>
        <w:b/>
        <w:sz w:val="16"/>
        <w:szCs w:val="16"/>
      </w:rPr>
      <w:t>Website</w:t>
    </w:r>
    <w:proofErr w:type="spellEnd"/>
    <w:r>
      <w:rPr>
        <w:rFonts w:ascii="Calibri" w:eastAsia="Calibri" w:hAnsi="Calibri" w:cs="Times New Roman"/>
        <w:b/>
        <w:sz w:val="16"/>
        <w:szCs w:val="16"/>
      </w:rPr>
      <w:t>: WWWW.Cecanot.com.do/ E-Mail: dirección@cecanot.com.do</w:t>
    </w:r>
  </w:p>
  <w:p w14:paraId="0EB1638E" w14:textId="77777777" w:rsidR="00E839EC" w:rsidRDefault="00E83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3DDAA" w14:textId="77777777" w:rsidR="00905A97" w:rsidRDefault="00905A97" w:rsidP="00E839EC">
      <w:pPr>
        <w:spacing w:after="0" w:line="240" w:lineRule="auto"/>
      </w:pPr>
      <w:r>
        <w:separator/>
      </w:r>
    </w:p>
  </w:footnote>
  <w:footnote w:type="continuationSeparator" w:id="0">
    <w:p w14:paraId="3B1577E0" w14:textId="77777777" w:rsidR="00905A97" w:rsidRDefault="00905A97" w:rsidP="00E8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FBCA7" w14:textId="77777777" w:rsidR="00E839EC" w:rsidRDefault="00E839EC" w:rsidP="00E839EC">
    <w:pPr>
      <w:pStyle w:val="Encabezado"/>
      <w:tabs>
        <w:tab w:val="left" w:pos="825"/>
      </w:tabs>
    </w:pPr>
    <w:r>
      <w:rPr>
        <w:noProof/>
        <w:lang w:eastAsia="es-DO"/>
      </w:rPr>
      <w:drawing>
        <wp:anchor distT="0" distB="0" distL="114300" distR="114300" simplePos="0" relativeHeight="251659264" behindDoc="1" locked="0" layoutInCell="1" allowOverlap="1" wp14:anchorId="34FD0884" wp14:editId="6A3C8F09">
          <wp:simplePos x="0" y="0"/>
          <wp:positionH relativeFrom="column">
            <wp:posOffset>-1118235</wp:posOffset>
          </wp:positionH>
          <wp:positionV relativeFrom="paragraph">
            <wp:posOffset>-449580</wp:posOffset>
          </wp:positionV>
          <wp:extent cx="3857625" cy="1447800"/>
          <wp:effectExtent l="19050" t="0" r="0" b="0"/>
          <wp:wrapThrough wrapText="bothSides">
            <wp:wrapPolygon edited="0">
              <wp:start x="-107" y="0"/>
              <wp:lineTo x="-107" y="20463"/>
              <wp:lineTo x="213" y="20463"/>
              <wp:lineTo x="640" y="20463"/>
              <wp:lineTo x="5867" y="18474"/>
              <wp:lineTo x="5867" y="18189"/>
              <wp:lineTo x="6400" y="18189"/>
              <wp:lineTo x="8000" y="14779"/>
              <wp:lineTo x="8000" y="13642"/>
              <wp:lineTo x="21120" y="13358"/>
              <wp:lineTo x="21440" y="10232"/>
              <wp:lineTo x="17067" y="7674"/>
              <wp:lineTo x="12053" y="4547"/>
              <wp:lineTo x="12160" y="4547"/>
              <wp:lineTo x="18773" y="0"/>
              <wp:lineTo x="-107"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857625" cy="14478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s-DO"/>
      </w:rPr>
      <w:drawing>
        <wp:anchor distT="0" distB="0" distL="114300" distR="114300" simplePos="0" relativeHeight="251660288" behindDoc="0" locked="0" layoutInCell="1" allowOverlap="1" wp14:anchorId="3048395E" wp14:editId="5DCD909B">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tab/>
    </w:r>
  </w:p>
  <w:p w14:paraId="40F53DF7" w14:textId="77777777" w:rsidR="00E839EC" w:rsidRDefault="00E839EC" w:rsidP="00E839EC">
    <w:pPr>
      <w:pStyle w:val="Encabezado"/>
    </w:pPr>
  </w:p>
  <w:p w14:paraId="1B570AC5" w14:textId="77777777" w:rsidR="00E839EC" w:rsidRPr="0023567C" w:rsidRDefault="00E839EC" w:rsidP="00E839EC">
    <w:pPr>
      <w:pStyle w:val="Encabezado"/>
    </w:pPr>
    <w:r w:rsidRPr="0023567C">
      <w:t xml:space="preserve">                                                  </w:t>
    </w:r>
  </w:p>
  <w:p w14:paraId="7544D977" w14:textId="77777777" w:rsidR="00E839EC" w:rsidRDefault="00E839EC" w:rsidP="00E839EC">
    <w:pPr>
      <w:pStyle w:val="msonospacing0"/>
      <w:jc w:val="center"/>
      <w:rPr>
        <w:color w:val="008000"/>
        <w:lang w:val="es-DO"/>
      </w:rPr>
    </w:pPr>
    <w:r w:rsidRPr="0023567C">
      <w:rPr>
        <w:color w:val="008000"/>
        <w:lang w:val="es-DO"/>
      </w:rPr>
      <w:t>Centro Cardio-Neuro Oftalmológico y Trasplante</w:t>
    </w:r>
  </w:p>
  <w:p w14:paraId="6D57A962" w14:textId="77777777" w:rsidR="00E839EC" w:rsidRPr="0023567C" w:rsidRDefault="00E839EC" w:rsidP="00E839EC">
    <w:pPr>
      <w:pStyle w:val="msonospacing0"/>
      <w:ind w:left="2832"/>
      <w:rPr>
        <w:lang w:val="es-DO"/>
      </w:rPr>
    </w:pPr>
    <w:r w:rsidRPr="0023567C">
      <w:rPr>
        <w:lang w:val="es-DO"/>
      </w:rPr>
      <w:t>Ciudad Sanitaria Dr. Luís E. Aybar</w:t>
    </w:r>
  </w:p>
  <w:p w14:paraId="5709F7E1" w14:textId="77777777" w:rsidR="00E839EC" w:rsidRPr="0023567C" w:rsidRDefault="00E839EC" w:rsidP="00E839EC">
    <w:pPr>
      <w:pStyle w:val="msonospacing0"/>
      <w:rPr>
        <w:lang w:val="es-DO"/>
      </w:rPr>
    </w:pPr>
    <w:r>
      <w:rPr>
        <w:lang w:val="es-DO"/>
      </w:rPr>
      <w:t xml:space="preserve">                                                                         </w:t>
    </w:r>
    <w:r w:rsidRPr="0023567C">
      <w:rPr>
        <w:lang w:val="es-DO"/>
      </w:rPr>
      <w:t>RNC  4-3006345-2</w:t>
    </w:r>
  </w:p>
  <w:p w14:paraId="34776681" w14:textId="77777777" w:rsidR="00E839EC" w:rsidRPr="0023567C" w:rsidRDefault="00E839EC" w:rsidP="00E839EC">
    <w:pPr>
      <w:pStyle w:val="Encabezado"/>
      <w:jc w:val="center"/>
      <w:rPr>
        <w:rFonts w:ascii="Calibri" w:eastAsia="Calibri" w:hAnsi="Calibri" w:cs="Times New Roman"/>
        <w:b/>
      </w:rPr>
    </w:pPr>
    <w:r w:rsidRPr="0023567C">
      <w:rPr>
        <w:rFonts w:ascii="Calibri" w:eastAsia="Calibri" w:hAnsi="Calibri" w:cs="Times New Roman"/>
        <w:b/>
      </w:rPr>
      <w:t>“Año de</w:t>
    </w:r>
    <w:r>
      <w:rPr>
        <w:rFonts w:ascii="Calibri" w:eastAsia="Calibri" w:hAnsi="Calibri" w:cs="Times New Roman"/>
        <w:b/>
      </w:rPr>
      <w:t xml:space="preserve"> </w:t>
    </w:r>
    <w:r w:rsidR="00C12D00" w:rsidRPr="0023567C">
      <w:rPr>
        <w:rFonts w:ascii="Calibri" w:eastAsia="Calibri" w:hAnsi="Calibri" w:cs="Times New Roman"/>
        <w:b/>
      </w:rPr>
      <w:t>l</w:t>
    </w:r>
    <w:r w:rsidR="00C12D00">
      <w:rPr>
        <w:rFonts w:ascii="Calibri" w:eastAsia="Calibri" w:hAnsi="Calibri" w:cs="Times New Roman"/>
        <w:b/>
      </w:rPr>
      <w:t>a</w:t>
    </w:r>
    <w:r w:rsidR="002B60F6">
      <w:rPr>
        <w:rFonts w:ascii="Calibri" w:eastAsia="Calibri" w:hAnsi="Calibri" w:cs="Times New Roman"/>
        <w:b/>
      </w:rPr>
      <w:t xml:space="preserve"> consolidación de la seguridad alimentaria</w:t>
    </w:r>
    <w:r w:rsidRPr="0023567C">
      <w:rPr>
        <w:rFonts w:ascii="Calibri" w:eastAsia="Calibri" w:hAnsi="Calibri" w:cs="Times New Roman"/>
        <w:b/>
      </w:rPr>
      <w:t>”</w:t>
    </w:r>
  </w:p>
  <w:p w14:paraId="63A42EB0" w14:textId="77777777" w:rsidR="00E839EC" w:rsidRDefault="00E83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F42DD"/>
    <w:multiLevelType w:val="hybridMultilevel"/>
    <w:tmpl w:val="C7442238"/>
    <w:lvl w:ilvl="0" w:tplc="1C0A0001">
      <w:start w:val="1"/>
      <w:numFmt w:val="bullet"/>
      <w:lvlText w:val=""/>
      <w:lvlJc w:val="left"/>
      <w:pPr>
        <w:ind w:left="1080" w:hanging="360"/>
      </w:pPr>
      <w:rPr>
        <w:rFonts w:ascii="Symbol" w:hAnsi="Symbol"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1" w15:restartNumberingAfterBreak="0">
    <w:nsid w:val="29C518AD"/>
    <w:multiLevelType w:val="hybridMultilevel"/>
    <w:tmpl w:val="92CC3FD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339D46BB"/>
    <w:multiLevelType w:val="hybridMultilevel"/>
    <w:tmpl w:val="148ED144"/>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386B125B"/>
    <w:multiLevelType w:val="hybridMultilevel"/>
    <w:tmpl w:val="AE2434C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52DA428F"/>
    <w:multiLevelType w:val="hybridMultilevel"/>
    <w:tmpl w:val="39E0AC82"/>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EC"/>
    <w:rsid w:val="00006494"/>
    <w:rsid w:val="00012280"/>
    <w:rsid w:val="000345AF"/>
    <w:rsid w:val="00036605"/>
    <w:rsid w:val="00047B63"/>
    <w:rsid w:val="00055054"/>
    <w:rsid w:val="00060429"/>
    <w:rsid w:val="000721BF"/>
    <w:rsid w:val="00084EB1"/>
    <w:rsid w:val="00092DAA"/>
    <w:rsid w:val="00096F4C"/>
    <w:rsid w:val="000A5F32"/>
    <w:rsid w:val="000B2965"/>
    <w:rsid w:val="000E2DCD"/>
    <w:rsid w:val="000E4602"/>
    <w:rsid w:val="000F1FAE"/>
    <w:rsid w:val="00111E18"/>
    <w:rsid w:val="0011312E"/>
    <w:rsid w:val="00122E83"/>
    <w:rsid w:val="001501BA"/>
    <w:rsid w:val="001510A6"/>
    <w:rsid w:val="0015331B"/>
    <w:rsid w:val="00157CAE"/>
    <w:rsid w:val="00173E0B"/>
    <w:rsid w:val="0017567F"/>
    <w:rsid w:val="00191BAE"/>
    <w:rsid w:val="00193941"/>
    <w:rsid w:val="001A2B1F"/>
    <w:rsid w:val="001B0C56"/>
    <w:rsid w:val="001B3ACD"/>
    <w:rsid w:val="001F5A7C"/>
    <w:rsid w:val="001F6481"/>
    <w:rsid w:val="00242EA4"/>
    <w:rsid w:val="00260922"/>
    <w:rsid w:val="00263248"/>
    <w:rsid w:val="00271232"/>
    <w:rsid w:val="002724C4"/>
    <w:rsid w:val="00296EBA"/>
    <w:rsid w:val="002A1EE8"/>
    <w:rsid w:val="002B3AE8"/>
    <w:rsid w:val="002B60F6"/>
    <w:rsid w:val="002C2A94"/>
    <w:rsid w:val="002C51EF"/>
    <w:rsid w:val="002D303D"/>
    <w:rsid w:val="00303955"/>
    <w:rsid w:val="00306C46"/>
    <w:rsid w:val="003307B4"/>
    <w:rsid w:val="003621E9"/>
    <w:rsid w:val="00366E9E"/>
    <w:rsid w:val="00375BE6"/>
    <w:rsid w:val="003844FF"/>
    <w:rsid w:val="0038638F"/>
    <w:rsid w:val="003A0B4E"/>
    <w:rsid w:val="003A61CA"/>
    <w:rsid w:val="003D039E"/>
    <w:rsid w:val="003D691B"/>
    <w:rsid w:val="003E4F7A"/>
    <w:rsid w:val="00426ECC"/>
    <w:rsid w:val="00440880"/>
    <w:rsid w:val="0044469A"/>
    <w:rsid w:val="00447532"/>
    <w:rsid w:val="00456592"/>
    <w:rsid w:val="0047071A"/>
    <w:rsid w:val="004710AD"/>
    <w:rsid w:val="004866EA"/>
    <w:rsid w:val="004C003D"/>
    <w:rsid w:val="004D3F1B"/>
    <w:rsid w:val="004D7591"/>
    <w:rsid w:val="004E2344"/>
    <w:rsid w:val="004F21AC"/>
    <w:rsid w:val="00500D3C"/>
    <w:rsid w:val="005064C4"/>
    <w:rsid w:val="00511E0E"/>
    <w:rsid w:val="005145F0"/>
    <w:rsid w:val="00524679"/>
    <w:rsid w:val="00524E62"/>
    <w:rsid w:val="00541A8D"/>
    <w:rsid w:val="00542F34"/>
    <w:rsid w:val="00544827"/>
    <w:rsid w:val="0055610E"/>
    <w:rsid w:val="005756A0"/>
    <w:rsid w:val="00577D3D"/>
    <w:rsid w:val="00583CE8"/>
    <w:rsid w:val="0058619C"/>
    <w:rsid w:val="005975B1"/>
    <w:rsid w:val="005A472D"/>
    <w:rsid w:val="005D7193"/>
    <w:rsid w:val="005D7217"/>
    <w:rsid w:val="005E66D5"/>
    <w:rsid w:val="00614100"/>
    <w:rsid w:val="00615AD1"/>
    <w:rsid w:val="006308FB"/>
    <w:rsid w:val="00631297"/>
    <w:rsid w:val="00635836"/>
    <w:rsid w:val="00644153"/>
    <w:rsid w:val="006457ED"/>
    <w:rsid w:val="00662CCD"/>
    <w:rsid w:val="006B203F"/>
    <w:rsid w:val="006D0A69"/>
    <w:rsid w:val="006F603B"/>
    <w:rsid w:val="00703148"/>
    <w:rsid w:val="00711239"/>
    <w:rsid w:val="00715199"/>
    <w:rsid w:val="00715DB8"/>
    <w:rsid w:val="00742FAB"/>
    <w:rsid w:val="00751731"/>
    <w:rsid w:val="00756863"/>
    <w:rsid w:val="0076227D"/>
    <w:rsid w:val="00786E81"/>
    <w:rsid w:val="00787AFB"/>
    <w:rsid w:val="00790AA9"/>
    <w:rsid w:val="007A52EF"/>
    <w:rsid w:val="007C0FF3"/>
    <w:rsid w:val="007C16C7"/>
    <w:rsid w:val="007D22AD"/>
    <w:rsid w:val="007E508A"/>
    <w:rsid w:val="007F2104"/>
    <w:rsid w:val="00823AAB"/>
    <w:rsid w:val="00866FE3"/>
    <w:rsid w:val="00876FED"/>
    <w:rsid w:val="008805E7"/>
    <w:rsid w:val="0088776B"/>
    <w:rsid w:val="008941DC"/>
    <w:rsid w:val="008A6518"/>
    <w:rsid w:val="008C2660"/>
    <w:rsid w:val="008D46C3"/>
    <w:rsid w:val="008E3620"/>
    <w:rsid w:val="008F3340"/>
    <w:rsid w:val="008F50D2"/>
    <w:rsid w:val="008F5D87"/>
    <w:rsid w:val="009040FD"/>
    <w:rsid w:val="00905A97"/>
    <w:rsid w:val="0091170A"/>
    <w:rsid w:val="00941FEB"/>
    <w:rsid w:val="0095544B"/>
    <w:rsid w:val="00957F78"/>
    <w:rsid w:val="00981ECC"/>
    <w:rsid w:val="009C161E"/>
    <w:rsid w:val="009D16F4"/>
    <w:rsid w:val="009F6736"/>
    <w:rsid w:val="009F736D"/>
    <w:rsid w:val="00A1162A"/>
    <w:rsid w:val="00A15532"/>
    <w:rsid w:val="00A237EE"/>
    <w:rsid w:val="00A41FBD"/>
    <w:rsid w:val="00A55F5D"/>
    <w:rsid w:val="00A56C60"/>
    <w:rsid w:val="00A6143B"/>
    <w:rsid w:val="00A61462"/>
    <w:rsid w:val="00A64BBC"/>
    <w:rsid w:val="00A70BB7"/>
    <w:rsid w:val="00A751EE"/>
    <w:rsid w:val="00AA1D43"/>
    <w:rsid w:val="00AA2D52"/>
    <w:rsid w:val="00AA4536"/>
    <w:rsid w:val="00AB27E1"/>
    <w:rsid w:val="00AB4784"/>
    <w:rsid w:val="00AB7354"/>
    <w:rsid w:val="00AB774C"/>
    <w:rsid w:val="00AC34F9"/>
    <w:rsid w:val="00AD0C70"/>
    <w:rsid w:val="00AD1F1B"/>
    <w:rsid w:val="00B22A5B"/>
    <w:rsid w:val="00B24A80"/>
    <w:rsid w:val="00B428BC"/>
    <w:rsid w:val="00B4338E"/>
    <w:rsid w:val="00B53F32"/>
    <w:rsid w:val="00B60B5C"/>
    <w:rsid w:val="00B633E9"/>
    <w:rsid w:val="00B72312"/>
    <w:rsid w:val="00B72C6F"/>
    <w:rsid w:val="00B83962"/>
    <w:rsid w:val="00B87732"/>
    <w:rsid w:val="00B92137"/>
    <w:rsid w:val="00BA53D3"/>
    <w:rsid w:val="00BA6435"/>
    <w:rsid w:val="00BB6F28"/>
    <w:rsid w:val="00BB6F29"/>
    <w:rsid w:val="00BD6F1E"/>
    <w:rsid w:val="00BE6AE8"/>
    <w:rsid w:val="00C12D00"/>
    <w:rsid w:val="00C13F1D"/>
    <w:rsid w:val="00C2138C"/>
    <w:rsid w:val="00C22878"/>
    <w:rsid w:val="00C43F87"/>
    <w:rsid w:val="00C46B55"/>
    <w:rsid w:val="00C47E2F"/>
    <w:rsid w:val="00C504AA"/>
    <w:rsid w:val="00C56FFA"/>
    <w:rsid w:val="00C773E4"/>
    <w:rsid w:val="00C82055"/>
    <w:rsid w:val="00C87285"/>
    <w:rsid w:val="00C94C6F"/>
    <w:rsid w:val="00C97EBD"/>
    <w:rsid w:val="00CC184F"/>
    <w:rsid w:val="00CC2DAF"/>
    <w:rsid w:val="00CD3E8E"/>
    <w:rsid w:val="00CD5701"/>
    <w:rsid w:val="00CD7929"/>
    <w:rsid w:val="00CE5A6D"/>
    <w:rsid w:val="00CF6DD1"/>
    <w:rsid w:val="00D03C6E"/>
    <w:rsid w:val="00D1544F"/>
    <w:rsid w:val="00D2235E"/>
    <w:rsid w:val="00D23D21"/>
    <w:rsid w:val="00D25D90"/>
    <w:rsid w:val="00D34C29"/>
    <w:rsid w:val="00D712E3"/>
    <w:rsid w:val="00D732CF"/>
    <w:rsid w:val="00D82F80"/>
    <w:rsid w:val="00D8558E"/>
    <w:rsid w:val="00D85759"/>
    <w:rsid w:val="00DA02B2"/>
    <w:rsid w:val="00DE6850"/>
    <w:rsid w:val="00DE7679"/>
    <w:rsid w:val="00E10895"/>
    <w:rsid w:val="00E279FE"/>
    <w:rsid w:val="00E30E0C"/>
    <w:rsid w:val="00E31679"/>
    <w:rsid w:val="00E509EA"/>
    <w:rsid w:val="00E52797"/>
    <w:rsid w:val="00E54498"/>
    <w:rsid w:val="00E81682"/>
    <w:rsid w:val="00E82CBA"/>
    <w:rsid w:val="00E839EC"/>
    <w:rsid w:val="00EC24A4"/>
    <w:rsid w:val="00ED10D7"/>
    <w:rsid w:val="00EE2E3D"/>
    <w:rsid w:val="00EF37FC"/>
    <w:rsid w:val="00EF7186"/>
    <w:rsid w:val="00F315F3"/>
    <w:rsid w:val="00F3633E"/>
    <w:rsid w:val="00F56F7D"/>
    <w:rsid w:val="00F614CC"/>
    <w:rsid w:val="00F756C3"/>
    <w:rsid w:val="00FB2CCD"/>
    <w:rsid w:val="00FB7D81"/>
    <w:rsid w:val="00FE32AA"/>
    <w:rsid w:val="00FE6237"/>
    <w:rsid w:val="00FE7C75"/>
    <w:rsid w:val="00FF2E8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85A8AF0"/>
  <w15:docId w15:val="{F6CB8788-C9E4-49A6-8A41-AB45CBA8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61E"/>
  </w:style>
  <w:style w:type="paragraph" w:styleId="Ttulo1">
    <w:name w:val="heading 1"/>
    <w:basedOn w:val="Normal"/>
    <w:next w:val="Normal"/>
    <w:link w:val="Ttulo1Car"/>
    <w:uiPriority w:val="9"/>
    <w:qFormat/>
    <w:rsid w:val="00AA45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AA45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B735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9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9EC"/>
  </w:style>
  <w:style w:type="paragraph" w:styleId="Piedepgina">
    <w:name w:val="footer"/>
    <w:basedOn w:val="Normal"/>
    <w:link w:val="PiedepginaCar"/>
    <w:uiPriority w:val="99"/>
    <w:unhideWhenUsed/>
    <w:rsid w:val="00E839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9EC"/>
  </w:style>
  <w:style w:type="paragraph" w:customStyle="1" w:styleId="msonospacing0">
    <w:name w:val="msonospacing"/>
    <w:rsid w:val="00E839EC"/>
    <w:pPr>
      <w:spacing w:after="0" w:line="240" w:lineRule="auto"/>
    </w:pPr>
    <w:rPr>
      <w:rFonts w:ascii="Calibri" w:eastAsia="Calibri" w:hAnsi="Calibri" w:cs="Times New Roman"/>
      <w:lang w:val="es-ES"/>
    </w:rPr>
  </w:style>
  <w:style w:type="table" w:styleId="Tablaconcuadrcula">
    <w:name w:val="Table Grid"/>
    <w:basedOn w:val="Tablanormal"/>
    <w:uiPriority w:val="59"/>
    <w:rsid w:val="0000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B0C56"/>
    <w:rPr>
      <w:sz w:val="16"/>
      <w:szCs w:val="16"/>
    </w:rPr>
  </w:style>
  <w:style w:type="paragraph" w:styleId="Textocomentario">
    <w:name w:val="annotation text"/>
    <w:basedOn w:val="Normal"/>
    <w:link w:val="TextocomentarioCar"/>
    <w:uiPriority w:val="99"/>
    <w:semiHidden/>
    <w:unhideWhenUsed/>
    <w:rsid w:val="001B0C5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0C56"/>
    <w:rPr>
      <w:sz w:val="20"/>
      <w:szCs w:val="20"/>
    </w:rPr>
  </w:style>
  <w:style w:type="paragraph" w:styleId="Asuntodelcomentario">
    <w:name w:val="annotation subject"/>
    <w:basedOn w:val="Textocomentario"/>
    <w:next w:val="Textocomentario"/>
    <w:link w:val="AsuntodelcomentarioCar"/>
    <w:uiPriority w:val="99"/>
    <w:semiHidden/>
    <w:unhideWhenUsed/>
    <w:rsid w:val="001B0C56"/>
    <w:rPr>
      <w:b/>
      <w:bCs/>
    </w:rPr>
  </w:style>
  <w:style w:type="character" w:customStyle="1" w:styleId="AsuntodelcomentarioCar">
    <w:name w:val="Asunto del comentario Car"/>
    <w:basedOn w:val="TextocomentarioCar"/>
    <w:link w:val="Asuntodelcomentario"/>
    <w:uiPriority w:val="99"/>
    <w:semiHidden/>
    <w:rsid w:val="001B0C56"/>
    <w:rPr>
      <w:b/>
      <w:bCs/>
      <w:sz w:val="20"/>
      <w:szCs w:val="20"/>
    </w:rPr>
  </w:style>
  <w:style w:type="paragraph" w:styleId="Textodeglobo">
    <w:name w:val="Balloon Text"/>
    <w:basedOn w:val="Normal"/>
    <w:link w:val="TextodegloboCar"/>
    <w:uiPriority w:val="99"/>
    <w:semiHidden/>
    <w:unhideWhenUsed/>
    <w:rsid w:val="001B0C5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0C56"/>
    <w:rPr>
      <w:rFonts w:ascii="Segoe UI" w:hAnsi="Segoe UI" w:cs="Segoe UI"/>
      <w:sz w:val="18"/>
      <w:szCs w:val="18"/>
    </w:rPr>
  </w:style>
  <w:style w:type="character" w:customStyle="1" w:styleId="vortalspan">
    <w:name w:val="vortalspan"/>
    <w:basedOn w:val="Fuentedeprrafopredeter"/>
    <w:rsid w:val="007C16C7"/>
  </w:style>
  <w:style w:type="character" w:styleId="Hipervnculo">
    <w:name w:val="Hyperlink"/>
    <w:basedOn w:val="Fuentedeprrafopredeter"/>
    <w:uiPriority w:val="99"/>
    <w:semiHidden/>
    <w:unhideWhenUsed/>
    <w:rsid w:val="00E54498"/>
    <w:rPr>
      <w:color w:val="0000FF"/>
      <w:u w:val="single"/>
    </w:rPr>
  </w:style>
  <w:style w:type="paragraph" w:styleId="Sinespaciado">
    <w:name w:val="No Spacing"/>
    <w:uiPriority w:val="1"/>
    <w:qFormat/>
    <w:rsid w:val="00AA4536"/>
    <w:pPr>
      <w:spacing w:after="0" w:line="240" w:lineRule="auto"/>
    </w:pPr>
  </w:style>
  <w:style w:type="character" w:customStyle="1" w:styleId="Ttulo1Car">
    <w:name w:val="Título 1 Car"/>
    <w:basedOn w:val="Fuentedeprrafopredeter"/>
    <w:link w:val="Ttulo1"/>
    <w:uiPriority w:val="9"/>
    <w:rsid w:val="00AA453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AA4536"/>
    <w:rPr>
      <w:rFonts w:asciiTheme="majorHAnsi" w:eastAsiaTheme="majorEastAsia" w:hAnsiTheme="majorHAnsi" w:cstheme="majorBidi"/>
      <w:color w:val="365F91" w:themeColor="accent1" w:themeShade="BF"/>
      <w:sz w:val="26"/>
      <w:szCs w:val="26"/>
    </w:rPr>
  </w:style>
  <w:style w:type="paragraph" w:styleId="Prrafodelista">
    <w:name w:val="List Paragraph"/>
    <w:basedOn w:val="Normal"/>
    <w:uiPriority w:val="34"/>
    <w:qFormat/>
    <w:rsid w:val="00644153"/>
    <w:pPr>
      <w:ind w:left="720"/>
      <w:contextualSpacing/>
    </w:pPr>
  </w:style>
  <w:style w:type="character" w:customStyle="1" w:styleId="Ttulo3Car">
    <w:name w:val="Título 3 Car"/>
    <w:basedOn w:val="Fuentedeprrafopredeter"/>
    <w:link w:val="Ttulo3"/>
    <w:uiPriority w:val="9"/>
    <w:semiHidden/>
    <w:rsid w:val="00AB7354"/>
    <w:rPr>
      <w:rFonts w:asciiTheme="majorHAnsi" w:eastAsiaTheme="majorEastAsia" w:hAnsiTheme="majorHAnsi" w:cstheme="majorBidi"/>
      <w:color w:val="243F60" w:themeColor="accent1" w:themeShade="7F"/>
      <w:sz w:val="24"/>
      <w:szCs w:val="24"/>
    </w:rPr>
  </w:style>
  <w:style w:type="paragraph" w:styleId="Textoindependiente">
    <w:name w:val="Body Text"/>
    <w:basedOn w:val="Normal"/>
    <w:link w:val="TextoindependienteCar"/>
    <w:unhideWhenUsed/>
    <w:rsid w:val="00AB7354"/>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AB7354"/>
    <w:rPr>
      <w:rFonts w:ascii="Times New Roman" w:eastAsia="Times New Roman" w:hAnsi="Times New Roman" w:cs="Times New Roman"/>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18095">
      <w:bodyDiv w:val="1"/>
      <w:marLeft w:val="0"/>
      <w:marRight w:val="0"/>
      <w:marTop w:val="0"/>
      <w:marBottom w:val="0"/>
      <w:divBdr>
        <w:top w:val="none" w:sz="0" w:space="0" w:color="auto"/>
        <w:left w:val="none" w:sz="0" w:space="0" w:color="auto"/>
        <w:bottom w:val="none" w:sz="0" w:space="0" w:color="auto"/>
        <w:right w:val="none" w:sz="0" w:space="0" w:color="auto"/>
      </w:divBdr>
      <w:divsChild>
        <w:div w:id="708338906">
          <w:marLeft w:val="0"/>
          <w:marRight w:val="0"/>
          <w:marTop w:val="0"/>
          <w:marBottom w:val="0"/>
          <w:divBdr>
            <w:top w:val="none" w:sz="0" w:space="0" w:color="auto"/>
            <w:left w:val="none" w:sz="0" w:space="0" w:color="auto"/>
            <w:bottom w:val="none" w:sz="0" w:space="0" w:color="auto"/>
            <w:right w:val="none" w:sz="0" w:space="0" w:color="auto"/>
          </w:divBdr>
        </w:div>
      </w:divsChild>
    </w:div>
    <w:div w:id="802382684">
      <w:bodyDiv w:val="1"/>
      <w:marLeft w:val="0"/>
      <w:marRight w:val="0"/>
      <w:marTop w:val="0"/>
      <w:marBottom w:val="0"/>
      <w:divBdr>
        <w:top w:val="none" w:sz="0" w:space="0" w:color="auto"/>
        <w:left w:val="none" w:sz="0" w:space="0" w:color="auto"/>
        <w:bottom w:val="none" w:sz="0" w:space="0" w:color="auto"/>
        <w:right w:val="none" w:sz="0" w:space="0" w:color="auto"/>
      </w:divBdr>
    </w:div>
    <w:div w:id="1318534999">
      <w:bodyDiv w:val="1"/>
      <w:marLeft w:val="0"/>
      <w:marRight w:val="0"/>
      <w:marTop w:val="0"/>
      <w:marBottom w:val="0"/>
      <w:divBdr>
        <w:top w:val="none" w:sz="0" w:space="0" w:color="auto"/>
        <w:left w:val="none" w:sz="0" w:space="0" w:color="auto"/>
        <w:bottom w:val="none" w:sz="0" w:space="0" w:color="auto"/>
        <w:right w:val="none" w:sz="0" w:space="0" w:color="auto"/>
      </w:divBdr>
    </w:div>
    <w:div w:id="1652753261">
      <w:bodyDiv w:val="1"/>
      <w:marLeft w:val="0"/>
      <w:marRight w:val="0"/>
      <w:marTop w:val="0"/>
      <w:marBottom w:val="0"/>
      <w:divBdr>
        <w:top w:val="none" w:sz="0" w:space="0" w:color="auto"/>
        <w:left w:val="none" w:sz="0" w:space="0" w:color="auto"/>
        <w:bottom w:val="none" w:sz="0" w:space="0" w:color="auto"/>
        <w:right w:val="none" w:sz="0" w:space="0" w:color="auto"/>
      </w:divBdr>
    </w:div>
    <w:div w:id="1780299465">
      <w:bodyDiv w:val="1"/>
      <w:marLeft w:val="0"/>
      <w:marRight w:val="0"/>
      <w:marTop w:val="0"/>
      <w:marBottom w:val="0"/>
      <w:divBdr>
        <w:top w:val="none" w:sz="0" w:space="0" w:color="auto"/>
        <w:left w:val="none" w:sz="0" w:space="0" w:color="auto"/>
        <w:bottom w:val="none" w:sz="0" w:space="0" w:color="auto"/>
        <w:right w:val="none" w:sz="0" w:space="0" w:color="auto"/>
      </w:divBdr>
    </w:div>
    <w:div w:id="1874881709">
      <w:bodyDiv w:val="1"/>
      <w:marLeft w:val="0"/>
      <w:marRight w:val="0"/>
      <w:marTop w:val="0"/>
      <w:marBottom w:val="0"/>
      <w:divBdr>
        <w:top w:val="none" w:sz="0" w:space="0" w:color="auto"/>
        <w:left w:val="none" w:sz="0" w:space="0" w:color="auto"/>
        <w:bottom w:val="none" w:sz="0" w:space="0" w:color="auto"/>
        <w:right w:val="none" w:sz="0" w:space="0" w:color="auto"/>
      </w:divBdr>
      <w:divsChild>
        <w:div w:id="1957364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pras@cecanot.com.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E2ABD-29A1-4A56-84B7-8D9A35E4B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1129</Words>
  <Characters>6213</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priscila.diaz</dc:creator>
  <cp:keywords/>
  <dc:description/>
  <cp:lastModifiedBy>Glennys Ceballos</cp:lastModifiedBy>
  <cp:revision>4</cp:revision>
  <cp:lastPrinted>2020-08-25T13:23:00Z</cp:lastPrinted>
  <dcterms:created xsi:type="dcterms:W3CDTF">2020-08-19T13:49:00Z</dcterms:created>
  <dcterms:modified xsi:type="dcterms:W3CDTF">2020-08-25T13:23:00Z</dcterms:modified>
</cp:coreProperties>
</file>